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решения «О бюджете муниципального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44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9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C043E6" w:rsidRDefault="004D11AB" w:rsidP="004D11AB">
      <w:pPr>
        <w:keepNext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Default="004D11AB" w:rsidP="004D11AB">
      <w:pPr>
        <w:keepNext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0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741691" w:rsidRPr="004D11AB" w:rsidRDefault="00741691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E32F34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Порядком разработки прогноза социаль</w:t>
      </w:r>
      <w:r w:rsidR="001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Каменского сельского поселения от 29.12.2016г.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202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(далее - прогноз), характеризуются замедлением темпов роста экономики. </w:t>
      </w:r>
    </w:p>
    <w:p w:rsidR="00DA3A85" w:rsidRPr="004D11AB" w:rsidRDefault="002A083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Аграрный сектор экономики в сельском поселении представлен следующими предприятиями: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«Волна», ООО «Русское молоко», ООО «Тайм», ИП КФК Горбачева С.В., ИП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Мажчаров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ИП КФК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Чвыр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основной капитал нет.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81" w:rsidRDefault="004D11AB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4D11AB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образования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школы -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сады – 2;</w:t>
      </w:r>
    </w:p>
    <w:p w:rsidR="007000D6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культуры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5A7" w:rsidRPr="004D11AB" w:rsidRDefault="009735A7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proofErr w:type="gramStart"/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сельского поселения составила 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1271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  прогнозируется  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1240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 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соответственно.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735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</w:t>
      </w:r>
      <w:r w:rsidR="00E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35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0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</w:t>
      </w:r>
      <w:r w:rsidR="0040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29A" w:rsidRDefault="00E0729A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муниципального внутреннего долга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EC388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4169,3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4169,3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3B0710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2174,3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1818,2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1011,3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C0B25" w:rsidRPr="004D11AB" w:rsidRDefault="000C0B25" w:rsidP="000C0B2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Стародубского муниципального района:</w:t>
      </w:r>
    </w:p>
    <w:p w:rsidR="000C0B25" w:rsidRPr="004D11AB" w:rsidRDefault="000C0B25" w:rsidP="000C0B2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0B25" w:rsidRPr="004D11AB" w:rsidRDefault="000C0B25" w:rsidP="000C0B2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0B25" w:rsidRDefault="000C0B25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-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BD" w:rsidRPr="00D870F5" w:rsidRDefault="004D11AB" w:rsidP="00D870F5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0F5">
        <w:rPr>
          <w:color w:val="FF0000"/>
          <w:sz w:val="28"/>
          <w:szCs w:val="28"/>
        </w:rPr>
        <w:t> </w:t>
      </w:r>
      <w:r w:rsidR="00BC4DF1" w:rsidRPr="00D870F5">
        <w:rPr>
          <w:sz w:val="28"/>
          <w:szCs w:val="28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B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9C1BBD" w:rsidRPr="00A378FB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путем уточнения параметров планового периода и добавления параметров второго года  и планового периода 201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A378FB" w:rsidRPr="00A378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A378FB" w:rsidRPr="00A378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A378FB" w:rsidRPr="00A37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A378FB" w:rsidRPr="00A378FB">
          <w:rPr>
            <w:rFonts w:ascii="Times New Roman" w:hAnsi="Times New Roman" w:cs="Times New Roman"/>
            <w:color w:val="0000FF"/>
            <w:sz w:val="28"/>
            <w:szCs w:val="28"/>
          </w:rPr>
          <w:t>3 статьи 169</w:t>
        </w:r>
      </w:hyperlink>
      <w:r w:rsidR="00A378FB" w:rsidRPr="00A378FB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 бюджета составляется на основе прогноза социально-экономического развития в целях финансового обеспечения расходных обязательств, в нарушение вышеуказанных условий прогноз социально-экономического развития Каменского поселения не взаимоувязан с бюджетными проектировками поселения.</w:t>
      </w:r>
      <w:proofErr w:type="gramEnd"/>
    </w:p>
    <w:p w:rsidR="00A378FB" w:rsidRPr="007C161B" w:rsidRDefault="00A378FB" w:rsidP="00A3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соответствия заложенных в муниципальн</w:t>
      </w:r>
      <w:r w:rsidRPr="00A3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A3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целевых показателей показателям прогноза социально-экономического развития выявил несоответствие программных и прогнозных показателей, а также отсутствие в прогнозе показателей, заложенных в муниципальных программах</w:t>
      </w:r>
      <w:r w:rsidRPr="007C1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78FB" w:rsidRDefault="00A378F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5B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85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3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85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A3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E32F34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68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950"/>
        <w:gridCol w:w="992"/>
        <w:gridCol w:w="1030"/>
        <w:gridCol w:w="946"/>
        <w:gridCol w:w="593"/>
        <w:gridCol w:w="783"/>
        <w:gridCol w:w="678"/>
        <w:gridCol w:w="783"/>
        <w:gridCol w:w="678"/>
      </w:tblGrid>
      <w:tr w:rsidR="004D11AB" w:rsidRPr="004D11AB" w:rsidTr="008514EA">
        <w:trPr>
          <w:trHeight w:val="249"/>
        </w:trPr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514E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85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85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514E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85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514E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5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514E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5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8514EA">
        <w:trPr>
          <w:trHeight w:val="997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0F3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F3151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0F3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F3151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</w:t>
            </w:r>
            <w:r w:rsidR="000F3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8514EA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6662,9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F1355E" w:rsidP="002D749F">
            <w:pPr>
              <w:spacing w:after="0" w:line="240" w:lineRule="auto"/>
              <w:ind w:left="5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-2493,6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3842,2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3078,3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1D601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</w:tr>
      <w:tr w:rsidR="004D11AB" w:rsidRPr="004D11AB" w:rsidTr="008514EA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и неналоговые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1D601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4D11AB" w:rsidRPr="004D11AB" w:rsidTr="008514EA">
        <w:trPr>
          <w:trHeight w:val="308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-2639,9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1D601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4D11AB" w:rsidRPr="004D11AB" w:rsidTr="008514EA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-2649,4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3842,2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0F315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757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3078,3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1D601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</w:tr>
      <w:tr w:rsidR="004D11AB" w:rsidRPr="004D11AB" w:rsidTr="008514EA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r w:rsidR="009230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(профицит)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355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36443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1D6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4169,3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доходам)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2493,6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2649,4 тыс. рублей или на 38,8% (по расходам)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1995,0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146,3</w:t>
      </w:r>
      <w:r w:rsidR="002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107,9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2174,3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2639,9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54,8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1D6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3842,2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2024,0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1818,2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7D5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1D6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3078,3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1D60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2067,0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102,1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1011,3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показателей доходной части бюджета в 201</w:t>
      </w:r>
      <w:r w:rsidR="001D6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56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D6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CA400E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138"/>
        <w:gridCol w:w="988"/>
        <w:gridCol w:w="916"/>
        <w:gridCol w:w="927"/>
        <w:gridCol w:w="774"/>
        <w:gridCol w:w="643"/>
        <w:gridCol w:w="709"/>
        <w:gridCol w:w="607"/>
        <w:gridCol w:w="669"/>
      </w:tblGrid>
      <w:tr w:rsidR="004D11AB" w:rsidRPr="004D11AB" w:rsidTr="001D601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27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27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7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4D11AB" w:rsidRPr="004D11A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1D601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D11AB" w:rsidRPr="004D11AB" w:rsidTr="001D601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D601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D6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1D601A">
        <w:trPr>
          <w:trHeight w:val="469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D601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4D11AB" w:rsidRPr="004D11AB" w:rsidTr="001D601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4F9" w:rsidRDefault="001D601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066D0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066D0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66D0D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4D11AB" w:rsidRPr="004D11AB" w:rsidTr="001D601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D601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6D0D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-39,3</w:t>
            </w:r>
          </w:p>
        </w:tc>
      </w:tr>
      <w:tr w:rsidR="004D11AB" w:rsidRPr="004D11AB" w:rsidTr="001D601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D601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1011,3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3D5AF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E359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-78,9</w:t>
            </w:r>
          </w:p>
        </w:tc>
      </w:tr>
      <w:tr w:rsidR="004D11AB" w:rsidRPr="004D11AB" w:rsidTr="001D601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D601A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3842,2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5B582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AFB" w:rsidP="003D5AF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E359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-53,8</w:t>
            </w:r>
          </w:p>
        </w:tc>
      </w:tr>
    </w:tbl>
    <w:p w:rsidR="00932E08" w:rsidRDefault="004D11AB" w:rsidP="00EB2D7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EB2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EB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B2D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B2D7A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года, в 20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19,9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</w:t>
      </w:r>
      <w:r w:rsidR="00EB2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EB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932E08"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B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EB2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EB2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EB2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B2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4169,3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2D7A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</w:tr>
    </w:tbl>
    <w:p w:rsidR="00066D0D" w:rsidRDefault="00066D0D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доходов бюджета на 201</w:t>
      </w:r>
      <w:r w:rsidR="009743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до 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67,2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4D11AB" w:rsidRPr="004D11AB" w:rsidRDefault="004D11AB" w:rsidP="00BE4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BE4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BE4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A3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4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9347D2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407C4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D11AB" w:rsidRPr="004D11AB" w:rsidTr="00885AF0">
        <w:trPr>
          <w:trHeight w:val="136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E4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8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111,8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FD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119,0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118,1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20180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111,2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533A8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347D2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120,6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5,9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7,2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E44B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2018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1CC6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1E1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4E8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9157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3774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6B4E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B37742" w:rsidP="00A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-39,3</w:t>
            </w:r>
          </w:p>
        </w:tc>
      </w:tr>
      <w:tr w:rsidR="007D11D7" w:rsidRPr="004D11AB" w:rsidTr="007D11D7">
        <w:trPr>
          <w:trHeight w:val="14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D5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6B4E82" w:rsidP="008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-28,6</w:t>
            </w:r>
          </w:p>
        </w:tc>
      </w:tr>
      <w:tr w:rsidR="008C32F9" w:rsidRPr="004D11AB" w:rsidTr="00B37742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Pr="004D11AB" w:rsidRDefault="002B2902" w:rsidP="00D5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BE44B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32018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061C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501E1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49157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B3774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-44,0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B377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B37742">
        <w:rPr>
          <w:rFonts w:ascii="Times New Roman" w:eastAsia="Times New Roman" w:hAnsi="Times New Roman" w:cs="Times New Roman"/>
          <w:sz w:val="28"/>
          <w:szCs w:val="28"/>
          <w:lang w:eastAsia="ru-RU"/>
        </w:rPr>
        <w:t>186,0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37742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3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бюджета 201</w:t>
      </w:r>
      <w:r w:rsidR="00B377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105,1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196,0</w:t>
      </w:r>
      <w:r w:rsidR="00A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729C">
        <w:rPr>
          <w:rFonts w:ascii="Times New Roman" w:eastAsia="Times New Roman" w:hAnsi="Times New Roman" w:cs="Times New Roman"/>
          <w:sz w:val="28"/>
          <w:szCs w:val="28"/>
          <w:lang w:eastAsia="ru-RU"/>
        </w:rPr>
        <w:t>209,0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105,4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118,1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217,0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100,9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228,0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239,0 тыс. рублей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A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что выше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5D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B0FE8">
        <w:rPr>
          <w:rFonts w:ascii="Times New Roman" w:eastAsia="Times New Roman" w:hAnsi="Times New Roman" w:cs="Times New Roman"/>
          <w:sz w:val="28"/>
          <w:szCs w:val="28"/>
          <w:lang w:eastAsia="ru-RU"/>
        </w:rPr>
        <w:t>54,0</w:t>
      </w:r>
      <w:r w:rsidR="0023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110,0%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налогу  прогнозируются на 20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79,0 тыс. рублей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2F5D8D">
        <w:rPr>
          <w:rFonts w:ascii="Times New Roman" w:eastAsia="Times New Roman" w:hAnsi="Times New Roman" w:cs="Times New Roman"/>
          <w:sz w:val="28"/>
          <w:szCs w:val="28"/>
          <w:lang w:eastAsia="ru-RU"/>
        </w:rPr>
        <w:t>1388,0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171,3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114,1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36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1389,0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1401,0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приходится </w:t>
      </w:r>
      <w:r w:rsidR="00A96E90">
        <w:rPr>
          <w:rFonts w:ascii="Times New Roman" w:eastAsia="Times New Roman" w:hAnsi="Times New Roman" w:cs="Times New Roman"/>
          <w:sz w:val="28"/>
          <w:szCs w:val="28"/>
          <w:lang w:eastAsia="ru-RU"/>
        </w:rPr>
        <w:t>69,6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95CAE" w:rsidRDefault="00695CAE" w:rsidP="007C1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тыс. рублей ежегодно.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1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F9A" w:rsidRPr="004D11AB" w:rsidRDefault="007C1F9A" w:rsidP="007C1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89,0 тыс. рублей ежегодно.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7C1F9A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году в структуре доходов бюджета занимают </w:t>
      </w:r>
      <w:r w:rsidR="007C1F9A">
        <w:rPr>
          <w:rFonts w:ascii="Times New Roman" w:hAnsi="Times New Roman" w:cs="Times New Roman"/>
          <w:sz w:val="28"/>
          <w:szCs w:val="28"/>
        </w:rPr>
        <w:t>52,2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 w:rsidR="007C1F9A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C1F9A">
        <w:rPr>
          <w:rFonts w:ascii="Times New Roman" w:hAnsi="Times New Roman" w:cs="Times New Roman"/>
          <w:sz w:val="28"/>
          <w:szCs w:val="28"/>
        </w:rPr>
        <w:t>47,3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7D6D7C">
        <w:rPr>
          <w:rFonts w:ascii="Times New Roman" w:hAnsi="Times New Roman" w:cs="Times New Roman"/>
          <w:sz w:val="28"/>
          <w:szCs w:val="28"/>
        </w:rPr>
        <w:t>2</w:t>
      </w:r>
      <w:r w:rsidR="007C1F9A">
        <w:rPr>
          <w:rFonts w:ascii="Times New Roman" w:hAnsi="Times New Roman" w:cs="Times New Roman"/>
          <w:sz w:val="28"/>
          <w:szCs w:val="28"/>
        </w:rPr>
        <w:t>1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7C1F9A">
        <w:rPr>
          <w:rFonts w:ascii="Times New Roman" w:hAnsi="Times New Roman" w:cs="Times New Roman"/>
          <w:sz w:val="28"/>
          <w:szCs w:val="28"/>
        </w:rPr>
        <w:t>32,9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7C1F9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D6D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1F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3732C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642"/>
        <w:gridCol w:w="973"/>
        <w:gridCol w:w="728"/>
        <w:gridCol w:w="996"/>
        <w:gridCol w:w="563"/>
        <w:gridCol w:w="851"/>
        <w:gridCol w:w="553"/>
        <w:gridCol w:w="30"/>
      </w:tblGrid>
      <w:tr w:rsidR="004D11AB" w:rsidRPr="004D11AB" w:rsidTr="00E64C9B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C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C1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D6D7C" w:rsidP="007C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C1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C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C1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C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C1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C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D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C1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64C9B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64C9B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64C9B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1F9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4814,2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2174,3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1818,2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1011,3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64C9B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1F9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64C9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64C9B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1F9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64C9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64C9B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1F9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64C9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257BE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64C9B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7BE" w:rsidRDefault="004D11AB" w:rsidP="004D11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</w:p>
    <w:p w:rsidR="004D11AB" w:rsidRPr="004D11AB" w:rsidRDefault="006257BE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E64C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7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9B">
        <w:rPr>
          <w:rFonts w:ascii="Times New Roman" w:eastAsia="Times New Roman" w:hAnsi="Times New Roman" w:cs="Times New Roman"/>
          <w:sz w:val="28"/>
          <w:szCs w:val="28"/>
          <w:lang w:eastAsia="ru-RU"/>
        </w:rPr>
        <w:t>55,5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E64C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– </w:t>
      </w:r>
      <w:r w:rsidR="00E64C9B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6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7BE" w:rsidRDefault="006257BE" w:rsidP="004D1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BE" w:rsidRPr="004D11AB" w:rsidRDefault="006257BE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7B" w:rsidRPr="004D11AB" w:rsidRDefault="00825E7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9" w:rsidRPr="004D11AB" w:rsidRDefault="004C3099" w:rsidP="00BB23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4169,3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680A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3842,2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80A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3078,3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 w:rsid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6257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AC0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C3099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625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25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AC0E7A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62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62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62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257BE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62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257BE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C3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2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1479,2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5C2D37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Pr="004D11AB" w:rsidRDefault="005C2D37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Pr="004D11AB" w:rsidRDefault="005C2D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5C2D3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C1568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5C2D3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C1568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4D11AB" w:rsidRPr="004D11AB" w:rsidTr="000F7E20">
        <w:trPr>
          <w:trHeight w:val="23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0B10CD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012851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012851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F7E20" w:rsidP="000B10C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0F7E20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0F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0B10C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0" w:rsidRDefault="00E732C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7E20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4D11AB" w:rsidRPr="004D11AB" w:rsidRDefault="004D11AB" w:rsidP="007A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01 «Общегосударственные вопросы», объем которых составляет – 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1524,2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1410,2 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 и 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48,1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1479,2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соответственно.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E7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</w:t>
      </w:r>
      <w:r w:rsidR="00E7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F43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E7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6C7C">
        <w:rPr>
          <w:rFonts w:ascii="Times New Roman" w:eastAsia="Times New Roman" w:hAnsi="Times New Roman" w:cs="Times New Roman"/>
          <w:sz w:val="28"/>
          <w:szCs w:val="28"/>
          <w:lang w:eastAsia="ru-RU"/>
        </w:rPr>
        <w:t>1524,2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6C7C">
        <w:rPr>
          <w:rFonts w:ascii="Times New Roman" w:eastAsia="Times New Roman" w:hAnsi="Times New Roman" w:cs="Times New Roman"/>
          <w:sz w:val="28"/>
          <w:szCs w:val="28"/>
          <w:lang w:eastAsia="ru-RU"/>
        </w:rPr>
        <w:t>1410,2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6C7C">
        <w:rPr>
          <w:rFonts w:ascii="Times New Roman" w:eastAsia="Times New Roman" w:hAnsi="Times New Roman" w:cs="Times New Roman"/>
          <w:sz w:val="28"/>
          <w:szCs w:val="28"/>
          <w:lang w:eastAsia="ru-RU"/>
        </w:rPr>
        <w:t>1479,2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623"/>
        <w:gridCol w:w="737"/>
        <w:gridCol w:w="1143"/>
        <w:gridCol w:w="1143"/>
        <w:gridCol w:w="960"/>
        <w:gridCol w:w="1587"/>
        <w:gridCol w:w="16"/>
      </w:tblGrid>
      <w:tr w:rsidR="004D11AB" w:rsidRPr="004D11AB" w:rsidTr="005F5E6A">
        <w:trPr>
          <w:trHeight w:val="276"/>
        </w:trPr>
        <w:tc>
          <w:tcPr>
            <w:tcW w:w="3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B6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CB6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3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B6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F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  <w:r w:rsidR="0011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5F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11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</w:t>
            </w:r>
            <w:r w:rsidR="005F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1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F5E6A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F5E6A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F5E6A">
        <w:trPr>
          <w:trHeight w:val="2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5E6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1524,2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5E6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1410,2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1479,2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-2,9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F5E6A">
        <w:trPr>
          <w:trHeight w:val="442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5E6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F5E6A">
        <w:trPr>
          <w:trHeight w:val="9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5E6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1119,1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4548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1004,2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1073,2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5E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-4,1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5F5E6A">
        <w:trPr>
          <w:trHeight w:val="9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211D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211D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F5E6A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1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234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5F5E6A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E6A" w:rsidRPr="004D11AB" w:rsidTr="005F5E6A">
        <w:trPr>
          <w:gridAfter w:val="1"/>
          <w:wAfter w:w="16" w:type="dxa"/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5F5E6A" w:rsidP="006B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5F5E6A" w:rsidP="005F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0234EE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 w:rsidR="005F5E6A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0234EE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5F5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F5E6A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6A" w:rsidRPr="004D11AB" w:rsidRDefault="000234EE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5F5E6A" w:rsidRPr="004D11AB" w:rsidTr="005F5E6A">
        <w:trPr>
          <w:gridAfter w:val="1"/>
          <w:wAfter w:w="16" w:type="dxa"/>
          <w:trHeight w:val="123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6A" w:rsidRPr="004D11AB" w:rsidRDefault="005F5E6A" w:rsidP="006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>2 19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снизятся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01 «Общегосударственные вопросы» в 201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составят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</w:t>
      </w:r>
      <w:r w:rsidR="00D1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 разделу национальная оборона в структуре бюджета в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1216,0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742,9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3329,2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2113,2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63,5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экономика в структуре бюджета в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600,0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543,4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845,0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871,8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F7719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795,1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103,3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составит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A77BB" w:rsidRPr="004D11AB" w:rsidRDefault="001A77BB" w:rsidP="001A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1A77BB" w:rsidRPr="004D11AB" w:rsidRDefault="001A77BB" w:rsidP="001A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77BB" w:rsidRPr="004D11AB" w:rsidRDefault="001A77BB" w:rsidP="001A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77BB" w:rsidRPr="004D11AB" w:rsidRDefault="001A77BB" w:rsidP="001A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A77BB" w:rsidRDefault="001A77BB" w:rsidP="001A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останутся неизменными. </w:t>
      </w:r>
      <w:r w:rsidRP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A77BB" w:rsidRPr="004D11AB" w:rsidRDefault="001A77B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Каменская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7BB" w:rsidRPr="004D11AB" w:rsidRDefault="004D11AB" w:rsidP="001A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2019-2021 годы распределены по программным направлениям деятельности</w:t>
      </w:r>
      <w:r w:rsidR="001A77BB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</w:t>
      </w:r>
      <w:r w:rsidR="00A87ADB">
        <w:rPr>
          <w:rFonts w:ascii="Times New Roman" w:hAnsi="Times New Roman" w:cs="Times New Roman"/>
          <w:bCs/>
          <w:sz w:val="28"/>
          <w:szCs w:val="28"/>
        </w:rPr>
        <w:t>1</w:t>
      </w:r>
      <w:r w:rsidR="001A77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A87ADB">
        <w:rPr>
          <w:rFonts w:ascii="Times New Roman" w:hAnsi="Times New Roman" w:cs="Times New Roman"/>
          <w:bCs/>
          <w:sz w:val="28"/>
          <w:szCs w:val="28"/>
        </w:rPr>
        <w:t>2</w:t>
      </w:r>
      <w:r w:rsidR="001A77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914B3E">
        <w:rPr>
          <w:rFonts w:ascii="Times New Roman" w:hAnsi="Times New Roman" w:cs="Times New Roman"/>
          <w:bCs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1A77BB">
        <w:rPr>
          <w:rFonts w:ascii="Times New Roman" w:hAnsi="Times New Roman" w:cs="Times New Roman"/>
          <w:sz w:val="28"/>
          <w:szCs w:val="28"/>
        </w:rPr>
        <w:t>20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A87ADB">
        <w:rPr>
          <w:rFonts w:ascii="Times New Roman" w:hAnsi="Times New Roman" w:cs="Times New Roman"/>
          <w:sz w:val="28"/>
          <w:szCs w:val="28"/>
        </w:rPr>
        <w:t>2</w:t>
      </w:r>
      <w:r w:rsidR="001A77BB">
        <w:rPr>
          <w:rFonts w:ascii="Times New Roman" w:hAnsi="Times New Roman" w:cs="Times New Roman"/>
          <w:sz w:val="28"/>
          <w:szCs w:val="28"/>
        </w:rPr>
        <w:t>2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914B3E">
        <w:rPr>
          <w:rFonts w:ascii="Times New Roman" w:hAnsi="Times New Roman" w:cs="Times New Roman"/>
          <w:sz w:val="28"/>
          <w:szCs w:val="28"/>
        </w:rPr>
        <w:t>Каменского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ADB" w:rsidRDefault="00A87ADB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DB" w:rsidRDefault="00A87ADB" w:rsidP="00A8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</w:t>
      </w: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87ADB" w:rsidRPr="00A87ADB" w:rsidRDefault="00A87ADB" w:rsidP="00A8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B" w:rsidRPr="00A87ADB" w:rsidRDefault="00A87ADB" w:rsidP="00A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Каменском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программ»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732" w:rsidRPr="005A3732" w:rsidRDefault="005A3732" w:rsidP="005A3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муниципальных программ осуществляется на основании перечня муниципальных программ, утверждаемого постановлением администрации Каменского сельского поселения (пункт 13).</w:t>
      </w:r>
      <w:r w:rsidR="001A7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Каменской сельской администрации от 02.11.2018г №51 утвержден перечень муниципальных программ, подлежащих разработке и реализации главными распорядителями средств бюджета муниципального образования «Каменское сельское поселение», согласно которому администрацией Каменского сельского поселения будет реализована одна муниципальная программа «Реализация полномочий администрации Каменского сельского поселения» (2019-2021 годы).</w:t>
      </w:r>
    </w:p>
    <w:p w:rsidR="00A87ADB" w:rsidRPr="00A87ADB" w:rsidRDefault="00A87ADB" w:rsidP="0052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администрации Каменского сельского поселения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(201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A87ADB" w:rsidRDefault="00A87ADB" w:rsidP="00520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1A7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3772,8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3372,5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2531,9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048D" w:rsidRDefault="0052048D" w:rsidP="00520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составляет в 201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396,5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469,8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546,5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68" w:rsidRPr="004E6668" w:rsidRDefault="004E6668" w:rsidP="004E66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F6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4E6668" w:rsidRPr="004E6668" w:rsidRDefault="004E6668" w:rsidP="004E6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9677,2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3772,8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3372,5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233B">
        <w:rPr>
          <w:rFonts w:ascii="Times New Roman" w:eastAsia="Times New Roman" w:hAnsi="Times New Roman" w:cs="Times New Roman"/>
          <w:sz w:val="28"/>
          <w:szCs w:val="28"/>
          <w:lang w:eastAsia="ru-RU"/>
        </w:rPr>
        <w:t>2531,9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83D21" w:rsidRPr="004E6668" w:rsidRDefault="00283D21" w:rsidP="006947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отраженные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мере 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источникам финансирования, указанным в приложении №1 к программе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(индикаторами).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79252D" w:rsidRDefault="0079252D" w:rsidP="007925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694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F97CD5" w:rsidRDefault="00F97CD5" w:rsidP="00F97CD5">
      <w:pPr>
        <w:pStyle w:val="af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по </w:t>
      </w:r>
      <w:r>
        <w:rPr>
          <w:sz w:val="28"/>
          <w:szCs w:val="28"/>
        </w:rPr>
        <w:t>организации и обеспечению освещения улиц</w:t>
      </w:r>
      <w:r>
        <w:rPr>
          <w:sz w:val="28"/>
          <w:szCs w:val="28"/>
        </w:rPr>
        <w:t>,</w:t>
      </w:r>
      <w:r w:rsidRPr="0011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на 2019-2021 годы установлено в </w:t>
      </w:r>
      <w:r>
        <w:rPr>
          <w:sz w:val="28"/>
          <w:szCs w:val="28"/>
        </w:rPr>
        <w:t>одинаковых</w:t>
      </w:r>
      <w:r>
        <w:rPr>
          <w:sz w:val="28"/>
          <w:szCs w:val="28"/>
        </w:rPr>
        <w:t xml:space="preserve"> объемах ежегодно, при этом  показатели (индикаторы) установлены на </w:t>
      </w:r>
      <w:r>
        <w:rPr>
          <w:sz w:val="28"/>
          <w:szCs w:val="28"/>
        </w:rPr>
        <w:t>разном</w:t>
      </w:r>
      <w:r>
        <w:rPr>
          <w:sz w:val="28"/>
          <w:szCs w:val="28"/>
        </w:rPr>
        <w:t xml:space="preserve"> уровне.</w:t>
      </w:r>
    </w:p>
    <w:p w:rsidR="0069478A" w:rsidRDefault="0069478A" w:rsidP="004D11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E5" w:rsidRPr="004D11AB" w:rsidRDefault="00914B3E" w:rsidP="00F9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соответствуют ст. 184 Бюджетного Кодекса РФ. </w:t>
      </w:r>
    </w:p>
    <w:p w:rsidR="00F93C4B" w:rsidRDefault="00947DE4" w:rsidP="00172E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263E5"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4B3E"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увязаны с бюджетными проектировками в части объемов доходной части бюджета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F97CD5" w:rsidRPr="004D11AB" w:rsidRDefault="00947DE4" w:rsidP="00F97C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7CD5" w:rsidRPr="00F9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F9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4169,3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доходам)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2493,6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2649,4 тыс. рублей или на 38,8% (по расходам)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F97CD5" w:rsidRPr="004D11AB" w:rsidRDefault="00F97CD5" w:rsidP="00F97C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F97CD5" w:rsidRPr="004D11AB" w:rsidRDefault="00F97CD5" w:rsidP="00F97C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9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97CD5" w:rsidRPr="004D11AB" w:rsidRDefault="00F97CD5" w:rsidP="00F97C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F97CD5" w:rsidRDefault="00F97CD5" w:rsidP="00F97C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9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19,9%.</w:t>
      </w:r>
    </w:p>
    <w:p w:rsidR="00F97CD5" w:rsidRDefault="00F97CD5" w:rsidP="00F97CD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97CD5" w:rsidRPr="004D11AB" w:rsidRDefault="00F97CD5" w:rsidP="00F97C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году в структуре доходов бюджета занимают </w:t>
      </w:r>
      <w:r>
        <w:rPr>
          <w:rFonts w:ascii="Times New Roman" w:hAnsi="Times New Roman" w:cs="Times New Roman"/>
          <w:sz w:val="28"/>
          <w:szCs w:val="28"/>
        </w:rPr>
        <w:t>52,2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47,3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>
        <w:rPr>
          <w:rFonts w:ascii="Times New Roman" w:hAnsi="Times New Roman" w:cs="Times New Roman"/>
          <w:sz w:val="28"/>
          <w:szCs w:val="28"/>
        </w:rPr>
        <w:t>32,9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97CD5" w:rsidRPr="004D11AB" w:rsidRDefault="00914B3E" w:rsidP="00F97C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«Каменское 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97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97CD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F97CD5" w:rsidRPr="004D11AB" w:rsidRDefault="00F97CD5" w:rsidP="00F97C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7CD5" w:rsidRDefault="00F97CD5" w:rsidP="00F97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3842,2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CD5" w:rsidRDefault="00F97CD5" w:rsidP="00F97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CD5" w:rsidRPr="004D11AB" w:rsidRDefault="00F97CD5" w:rsidP="00F97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97CD5" w:rsidRPr="004D11AB" w:rsidRDefault="00F97CD5" w:rsidP="00F97CD5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1F5" w:rsidRPr="004D11AB" w:rsidRDefault="00947DE4" w:rsidP="00212CA7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1F5" w:rsidRDefault="00FA37FE" w:rsidP="002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1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Каменская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1F5" w:rsidRDefault="00FA37FE" w:rsidP="002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171F5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</w:t>
      </w:r>
      <w:r w:rsidR="004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и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непрограммным направлениям деятельности</w:t>
      </w:r>
      <w:r w:rsidR="002171F5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сельской администрации.  </w:t>
      </w:r>
    </w:p>
    <w:p w:rsidR="002171F5" w:rsidRPr="004A4CE1" w:rsidRDefault="00FA37FE" w:rsidP="00217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171F5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212CA7">
        <w:rPr>
          <w:rFonts w:ascii="Times New Roman" w:hAnsi="Times New Roman" w:cs="Times New Roman"/>
          <w:bCs/>
          <w:sz w:val="28"/>
          <w:szCs w:val="28"/>
        </w:rPr>
        <w:t>9</w:t>
      </w:r>
      <w:r w:rsidR="002171F5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12CA7">
        <w:rPr>
          <w:rFonts w:ascii="Times New Roman" w:hAnsi="Times New Roman" w:cs="Times New Roman"/>
          <w:bCs/>
          <w:sz w:val="28"/>
          <w:szCs w:val="28"/>
        </w:rPr>
        <w:t>1</w:t>
      </w:r>
      <w:r w:rsidR="0021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 w:rsidR="002171F5">
        <w:rPr>
          <w:rFonts w:ascii="Times New Roman" w:hAnsi="Times New Roman" w:cs="Times New Roman"/>
          <w:bCs/>
          <w:sz w:val="28"/>
          <w:szCs w:val="28"/>
        </w:rPr>
        <w:t>ах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 w:rsidR="002171F5">
        <w:rPr>
          <w:rFonts w:ascii="Times New Roman" w:hAnsi="Times New Roman" w:cs="Times New Roman"/>
          <w:bCs/>
          <w:sz w:val="28"/>
          <w:szCs w:val="28"/>
        </w:rPr>
        <w:t>.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F5">
        <w:rPr>
          <w:rFonts w:ascii="Times New Roman" w:hAnsi="Times New Roman" w:cs="Times New Roman"/>
          <w:bCs/>
          <w:sz w:val="28"/>
          <w:szCs w:val="28"/>
        </w:rPr>
        <w:t>П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2171F5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212CA7">
        <w:rPr>
          <w:rFonts w:ascii="Times New Roman" w:hAnsi="Times New Roman" w:cs="Times New Roman"/>
          <w:sz w:val="28"/>
          <w:szCs w:val="28"/>
        </w:rPr>
        <w:t>20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2171F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CA7">
        <w:rPr>
          <w:rFonts w:ascii="Times New Roman" w:hAnsi="Times New Roman" w:cs="Times New Roman"/>
          <w:sz w:val="28"/>
          <w:szCs w:val="28"/>
        </w:rPr>
        <w:t>1</w:t>
      </w:r>
      <w:r w:rsidR="002171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172EE8" w:rsidRDefault="002171F5" w:rsidP="004D1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 w:rsidR="00FA37FE"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A7" w:rsidRPr="00A87ADB" w:rsidRDefault="00FA37FE" w:rsidP="00212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11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A7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2CA7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12CA7">
        <w:rPr>
          <w:rFonts w:ascii="Times New Roman" w:eastAsia="Times New Roman" w:hAnsi="Times New Roman" w:cs="Times New Roman"/>
          <w:sz w:val="28"/>
          <w:szCs w:val="28"/>
          <w:lang w:eastAsia="ru-RU"/>
        </w:rPr>
        <w:t>ы «Реализация полномочий администрации Каменского сельского поселения» (2019-2021 годы).</w:t>
      </w:r>
    </w:p>
    <w:p w:rsidR="00212CA7" w:rsidRDefault="00212CA7" w:rsidP="0021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«Каменское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3772,8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3372,5тыс. рублей, в 2021 году – 2531,9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2CA7" w:rsidRDefault="00212CA7" w:rsidP="0021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FE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FA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Непрограммную часть проекта бюджета в 2019-2021 годы составляет в 2019г -396,5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469,8 тыс. рублей и 546,5 тыс. рублей.</w:t>
      </w:r>
    </w:p>
    <w:p w:rsidR="00FA37FE" w:rsidRPr="004E6668" w:rsidRDefault="00FA37FE" w:rsidP="00212CA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212CA7">
        <w:rPr>
          <w:rFonts w:ascii="Times New Roman" w:hAnsi="Times New Roman" w:cs="Times New Roman"/>
          <w:b/>
          <w:sz w:val="28"/>
          <w:szCs w:val="28"/>
        </w:rPr>
        <w:t>13.</w:t>
      </w:r>
      <w:r w:rsidRPr="00E207B0">
        <w:t xml:space="preserve"> </w:t>
      </w:r>
      <w:r w:rsidRPr="00E207B0">
        <w:rPr>
          <w:rFonts w:ascii="Times New Roman" w:hAnsi="Times New Roman" w:cs="Times New Roman"/>
          <w:sz w:val="28"/>
          <w:szCs w:val="28"/>
        </w:rPr>
        <w:t xml:space="preserve">Анализ динамики показателей (индикаторов), характеризующих выполнение муниципальной программы </w:t>
      </w:r>
      <w:r w:rsidR="00212CA7">
        <w:rPr>
          <w:rFonts w:ascii="Times New Roman" w:hAnsi="Times New Roman" w:cs="Times New Roman"/>
          <w:sz w:val="28"/>
          <w:szCs w:val="28"/>
        </w:rPr>
        <w:t>выявил ряд отклонений.</w:t>
      </w:r>
    </w:p>
    <w:p w:rsidR="00FA37FE" w:rsidRPr="004D11AB" w:rsidRDefault="00FA37FE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D2783C" w:rsidRDefault="00D2783C" w:rsidP="00172EE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172EE8" w:rsidRPr="004D11AB" w:rsidRDefault="00172EE8" w:rsidP="00172EE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F5" w:rsidRDefault="004D11AB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</w:t>
      </w:r>
      <w:r w:rsidR="006A2018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предлагает</w:t>
      </w:r>
      <w:r w:rsidR="0021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11AB" w:rsidRDefault="002171F5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Каменскому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е»</w:t>
      </w:r>
      <w:bookmarkStart w:id="1" w:name="_GoBack"/>
      <w:bookmarkEnd w:id="1"/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2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21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E207B0" w:rsidRDefault="00E207B0" w:rsidP="00E20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E207B0" w:rsidRDefault="00E207B0" w:rsidP="00E20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</w:t>
      </w:r>
      <w:r w:rsidR="00B6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мерах, принятых по устранению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B670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изложенных в настоящем заключении в письменном виде.</w:t>
      </w:r>
    </w:p>
    <w:p w:rsidR="00E207B0" w:rsidRPr="00E207B0" w:rsidRDefault="00E207B0" w:rsidP="00E20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E8" w:rsidRPr="00D2783C" w:rsidRDefault="00172EE8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 муниципального района                         Н.А.Сусло</w:t>
      </w:r>
    </w:p>
    <w:p w:rsidR="00172EE8" w:rsidRDefault="00172EE8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B0" w:rsidRPr="004D11AB" w:rsidRDefault="00E207B0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2171F5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proofErr w:type="gramEnd"/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13D2" w:rsidRDefault="001813D2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F5" w:rsidRDefault="004D11AB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Каменской </w:t>
      </w:r>
    </w:p>
    <w:p w:rsidR="002171F5" w:rsidRDefault="002171F5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М.А.Нешков</w:t>
      </w:r>
      <w:proofErr w:type="spellEnd"/>
    </w:p>
    <w:p w:rsidR="002171F5" w:rsidRPr="004D11AB" w:rsidRDefault="002171F5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6E51" w:rsidRDefault="00466E51"/>
    <w:sectPr w:rsidR="00466E51" w:rsidSect="00BD7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1C" w:rsidRDefault="00B8331C" w:rsidP="00BD7885">
      <w:pPr>
        <w:spacing w:after="0" w:line="240" w:lineRule="auto"/>
      </w:pPr>
      <w:r>
        <w:separator/>
      </w:r>
    </w:p>
  </w:endnote>
  <w:endnote w:type="continuationSeparator" w:id="0">
    <w:p w:rsidR="00B8331C" w:rsidRDefault="00B8331C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1C" w:rsidRDefault="00B8331C" w:rsidP="00BD7885">
      <w:pPr>
        <w:spacing w:after="0" w:line="240" w:lineRule="auto"/>
      </w:pPr>
      <w:r>
        <w:separator/>
      </w:r>
    </w:p>
  </w:footnote>
  <w:footnote w:type="continuationSeparator" w:id="0">
    <w:p w:rsidR="00B8331C" w:rsidRDefault="00B8331C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6B2C56" w:rsidRDefault="006B2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A7">
          <w:rPr>
            <w:noProof/>
          </w:rPr>
          <w:t>15</w:t>
        </w:r>
        <w:r>
          <w:fldChar w:fldCharType="end"/>
        </w:r>
      </w:p>
    </w:sdtContent>
  </w:sdt>
  <w:p w:rsidR="006B2C56" w:rsidRDefault="006B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D6E"/>
    <w:multiLevelType w:val="hybridMultilevel"/>
    <w:tmpl w:val="011285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A5F"/>
    <w:rsid w:val="00010B3B"/>
    <w:rsid w:val="00012531"/>
    <w:rsid w:val="00012851"/>
    <w:rsid w:val="00013625"/>
    <w:rsid w:val="00015782"/>
    <w:rsid w:val="0002345D"/>
    <w:rsid w:val="000234EE"/>
    <w:rsid w:val="000247E1"/>
    <w:rsid w:val="00024F32"/>
    <w:rsid w:val="00025E93"/>
    <w:rsid w:val="000268D9"/>
    <w:rsid w:val="0002759F"/>
    <w:rsid w:val="00030396"/>
    <w:rsid w:val="0003245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1CC6"/>
    <w:rsid w:val="0006301E"/>
    <w:rsid w:val="000647BB"/>
    <w:rsid w:val="000653F3"/>
    <w:rsid w:val="00066D0D"/>
    <w:rsid w:val="00066F04"/>
    <w:rsid w:val="0006769B"/>
    <w:rsid w:val="000738B2"/>
    <w:rsid w:val="00073D73"/>
    <w:rsid w:val="00074524"/>
    <w:rsid w:val="0007468D"/>
    <w:rsid w:val="00074A0F"/>
    <w:rsid w:val="000761AD"/>
    <w:rsid w:val="00077902"/>
    <w:rsid w:val="000849FE"/>
    <w:rsid w:val="00086BB3"/>
    <w:rsid w:val="000933CB"/>
    <w:rsid w:val="000956E8"/>
    <w:rsid w:val="000A0AFD"/>
    <w:rsid w:val="000A5DE2"/>
    <w:rsid w:val="000A64E9"/>
    <w:rsid w:val="000B10CD"/>
    <w:rsid w:val="000B280A"/>
    <w:rsid w:val="000B6664"/>
    <w:rsid w:val="000C0315"/>
    <w:rsid w:val="000C0B2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2B64"/>
    <w:rsid w:val="000E390B"/>
    <w:rsid w:val="000E3F3A"/>
    <w:rsid w:val="000E43B0"/>
    <w:rsid w:val="000E649B"/>
    <w:rsid w:val="000E792B"/>
    <w:rsid w:val="000F1E39"/>
    <w:rsid w:val="000F3151"/>
    <w:rsid w:val="000F4AEB"/>
    <w:rsid w:val="000F6EA3"/>
    <w:rsid w:val="000F6F43"/>
    <w:rsid w:val="000F7611"/>
    <w:rsid w:val="000F7C50"/>
    <w:rsid w:val="000F7E20"/>
    <w:rsid w:val="00101332"/>
    <w:rsid w:val="001033E8"/>
    <w:rsid w:val="00104C88"/>
    <w:rsid w:val="00105DE8"/>
    <w:rsid w:val="001068F7"/>
    <w:rsid w:val="001103BE"/>
    <w:rsid w:val="00110F36"/>
    <w:rsid w:val="00112CAF"/>
    <w:rsid w:val="001144CE"/>
    <w:rsid w:val="00115756"/>
    <w:rsid w:val="00131E2B"/>
    <w:rsid w:val="0013252C"/>
    <w:rsid w:val="00134D93"/>
    <w:rsid w:val="00137D3D"/>
    <w:rsid w:val="00137E74"/>
    <w:rsid w:val="0014388D"/>
    <w:rsid w:val="001472EC"/>
    <w:rsid w:val="00147BB1"/>
    <w:rsid w:val="00152B58"/>
    <w:rsid w:val="0015489A"/>
    <w:rsid w:val="0015507C"/>
    <w:rsid w:val="00156A6C"/>
    <w:rsid w:val="001607F3"/>
    <w:rsid w:val="00166ED1"/>
    <w:rsid w:val="00170A7C"/>
    <w:rsid w:val="001724B5"/>
    <w:rsid w:val="00172EE8"/>
    <w:rsid w:val="0017704A"/>
    <w:rsid w:val="00180D74"/>
    <w:rsid w:val="001813D2"/>
    <w:rsid w:val="00183408"/>
    <w:rsid w:val="0018345C"/>
    <w:rsid w:val="001841C0"/>
    <w:rsid w:val="00184C41"/>
    <w:rsid w:val="00186326"/>
    <w:rsid w:val="00186B70"/>
    <w:rsid w:val="00190625"/>
    <w:rsid w:val="0019233B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A77BB"/>
    <w:rsid w:val="001B1B80"/>
    <w:rsid w:val="001B1CE4"/>
    <w:rsid w:val="001B40E2"/>
    <w:rsid w:val="001B519F"/>
    <w:rsid w:val="001B614B"/>
    <w:rsid w:val="001C3DC0"/>
    <w:rsid w:val="001C480F"/>
    <w:rsid w:val="001C48D7"/>
    <w:rsid w:val="001C5D84"/>
    <w:rsid w:val="001C6D6D"/>
    <w:rsid w:val="001D0C09"/>
    <w:rsid w:val="001D11B8"/>
    <w:rsid w:val="001D11F2"/>
    <w:rsid w:val="001D1C98"/>
    <w:rsid w:val="001D4E00"/>
    <w:rsid w:val="001D601A"/>
    <w:rsid w:val="001E03D1"/>
    <w:rsid w:val="001E061E"/>
    <w:rsid w:val="001E068C"/>
    <w:rsid w:val="001E4903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1D9C"/>
    <w:rsid w:val="00212895"/>
    <w:rsid w:val="00212CA7"/>
    <w:rsid w:val="00213788"/>
    <w:rsid w:val="002159EE"/>
    <w:rsid w:val="00216BBC"/>
    <w:rsid w:val="002171F5"/>
    <w:rsid w:val="00217B0C"/>
    <w:rsid w:val="00220618"/>
    <w:rsid w:val="00220DD4"/>
    <w:rsid w:val="0022102A"/>
    <w:rsid w:val="00224CA6"/>
    <w:rsid w:val="00224F24"/>
    <w:rsid w:val="0022548E"/>
    <w:rsid w:val="002263E5"/>
    <w:rsid w:val="00227B4D"/>
    <w:rsid w:val="002303F1"/>
    <w:rsid w:val="00230ACF"/>
    <w:rsid w:val="00231A2D"/>
    <w:rsid w:val="00233AF8"/>
    <w:rsid w:val="002361C6"/>
    <w:rsid w:val="00236F7A"/>
    <w:rsid w:val="0024100F"/>
    <w:rsid w:val="002412F5"/>
    <w:rsid w:val="00242BE4"/>
    <w:rsid w:val="002442DD"/>
    <w:rsid w:val="002451EB"/>
    <w:rsid w:val="00245481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5E3"/>
    <w:rsid w:val="00274790"/>
    <w:rsid w:val="00274991"/>
    <w:rsid w:val="002810E6"/>
    <w:rsid w:val="00281576"/>
    <w:rsid w:val="00283255"/>
    <w:rsid w:val="00283D21"/>
    <w:rsid w:val="00286243"/>
    <w:rsid w:val="00286DFC"/>
    <w:rsid w:val="002876AA"/>
    <w:rsid w:val="0029026E"/>
    <w:rsid w:val="002906EB"/>
    <w:rsid w:val="002A083A"/>
    <w:rsid w:val="002A1AB8"/>
    <w:rsid w:val="002A2447"/>
    <w:rsid w:val="002A2919"/>
    <w:rsid w:val="002A40E6"/>
    <w:rsid w:val="002A435F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2902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49F"/>
    <w:rsid w:val="002D757E"/>
    <w:rsid w:val="002D774C"/>
    <w:rsid w:val="002E1F0C"/>
    <w:rsid w:val="002E3E07"/>
    <w:rsid w:val="002E3F3F"/>
    <w:rsid w:val="002E560D"/>
    <w:rsid w:val="002E77EA"/>
    <w:rsid w:val="002F42EA"/>
    <w:rsid w:val="002F5A05"/>
    <w:rsid w:val="002F5D8D"/>
    <w:rsid w:val="002F6A45"/>
    <w:rsid w:val="002F746B"/>
    <w:rsid w:val="0030141E"/>
    <w:rsid w:val="00301E7A"/>
    <w:rsid w:val="00304C77"/>
    <w:rsid w:val="0030667E"/>
    <w:rsid w:val="00310DD9"/>
    <w:rsid w:val="00310F93"/>
    <w:rsid w:val="00311CF6"/>
    <w:rsid w:val="00312281"/>
    <w:rsid w:val="00313E5A"/>
    <w:rsid w:val="0031431B"/>
    <w:rsid w:val="00316183"/>
    <w:rsid w:val="00316CC5"/>
    <w:rsid w:val="003177DB"/>
    <w:rsid w:val="00320180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56937"/>
    <w:rsid w:val="00356EE4"/>
    <w:rsid w:val="003604FA"/>
    <w:rsid w:val="00362BD8"/>
    <w:rsid w:val="003631A9"/>
    <w:rsid w:val="0036443B"/>
    <w:rsid w:val="00372155"/>
    <w:rsid w:val="003732CB"/>
    <w:rsid w:val="003746B1"/>
    <w:rsid w:val="00377972"/>
    <w:rsid w:val="00381F6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0710"/>
    <w:rsid w:val="003B34B7"/>
    <w:rsid w:val="003B6D80"/>
    <w:rsid w:val="003B7F24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D5AFB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08B8"/>
    <w:rsid w:val="004022BD"/>
    <w:rsid w:val="00404CDE"/>
    <w:rsid w:val="004073DB"/>
    <w:rsid w:val="004106EB"/>
    <w:rsid w:val="00413278"/>
    <w:rsid w:val="00413C03"/>
    <w:rsid w:val="00413C9B"/>
    <w:rsid w:val="00421AC7"/>
    <w:rsid w:val="00422359"/>
    <w:rsid w:val="00423238"/>
    <w:rsid w:val="00424D3A"/>
    <w:rsid w:val="00427B42"/>
    <w:rsid w:val="00430B2B"/>
    <w:rsid w:val="0043274C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757E2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91575"/>
    <w:rsid w:val="00493F3C"/>
    <w:rsid w:val="004A34C6"/>
    <w:rsid w:val="004A39AE"/>
    <w:rsid w:val="004A40ED"/>
    <w:rsid w:val="004A415E"/>
    <w:rsid w:val="004A4F14"/>
    <w:rsid w:val="004A5919"/>
    <w:rsid w:val="004A78E4"/>
    <w:rsid w:val="004B073D"/>
    <w:rsid w:val="004B27F4"/>
    <w:rsid w:val="004B397F"/>
    <w:rsid w:val="004B6B7B"/>
    <w:rsid w:val="004B6F05"/>
    <w:rsid w:val="004C15C0"/>
    <w:rsid w:val="004C1747"/>
    <w:rsid w:val="004C3099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5F3F"/>
    <w:rsid w:val="004D7987"/>
    <w:rsid w:val="004E13CA"/>
    <w:rsid w:val="004E1BF5"/>
    <w:rsid w:val="004E20BF"/>
    <w:rsid w:val="004E5777"/>
    <w:rsid w:val="004E5908"/>
    <w:rsid w:val="004E6668"/>
    <w:rsid w:val="004E6A22"/>
    <w:rsid w:val="004E6FFE"/>
    <w:rsid w:val="004E77E2"/>
    <w:rsid w:val="004F0ABF"/>
    <w:rsid w:val="004F1CBA"/>
    <w:rsid w:val="004F1D9C"/>
    <w:rsid w:val="004F3482"/>
    <w:rsid w:val="004F7F3C"/>
    <w:rsid w:val="00501E17"/>
    <w:rsid w:val="005048D1"/>
    <w:rsid w:val="00504CAD"/>
    <w:rsid w:val="0050512D"/>
    <w:rsid w:val="00506D4E"/>
    <w:rsid w:val="005124F4"/>
    <w:rsid w:val="0051298B"/>
    <w:rsid w:val="005144DC"/>
    <w:rsid w:val="0051717D"/>
    <w:rsid w:val="0052048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36F60"/>
    <w:rsid w:val="00537E51"/>
    <w:rsid w:val="00541E21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64CC6"/>
    <w:rsid w:val="005654F9"/>
    <w:rsid w:val="005655BE"/>
    <w:rsid w:val="0056759D"/>
    <w:rsid w:val="00571D6F"/>
    <w:rsid w:val="005739E0"/>
    <w:rsid w:val="00581F23"/>
    <w:rsid w:val="00582FA4"/>
    <w:rsid w:val="00590070"/>
    <w:rsid w:val="00591FEE"/>
    <w:rsid w:val="00594D83"/>
    <w:rsid w:val="00596B5B"/>
    <w:rsid w:val="005A0933"/>
    <w:rsid w:val="005A095D"/>
    <w:rsid w:val="005A0F22"/>
    <w:rsid w:val="005A1A4F"/>
    <w:rsid w:val="005A288C"/>
    <w:rsid w:val="005A3732"/>
    <w:rsid w:val="005A578E"/>
    <w:rsid w:val="005B2EE7"/>
    <w:rsid w:val="005B3939"/>
    <w:rsid w:val="005B5827"/>
    <w:rsid w:val="005B6C52"/>
    <w:rsid w:val="005B7515"/>
    <w:rsid w:val="005C1FEA"/>
    <w:rsid w:val="005C2D37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524C"/>
    <w:rsid w:val="005D6BBC"/>
    <w:rsid w:val="005D7690"/>
    <w:rsid w:val="005E3133"/>
    <w:rsid w:val="005E52B2"/>
    <w:rsid w:val="005E57D5"/>
    <w:rsid w:val="005E5C59"/>
    <w:rsid w:val="005E67DF"/>
    <w:rsid w:val="005E6E20"/>
    <w:rsid w:val="005E7766"/>
    <w:rsid w:val="005E7B42"/>
    <w:rsid w:val="005F5106"/>
    <w:rsid w:val="005F57C3"/>
    <w:rsid w:val="005F5E6A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7BE"/>
    <w:rsid w:val="00625A56"/>
    <w:rsid w:val="00627C90"/>
    <w:rsid w:val="006318D6"/>
    <w:rsid w:val="006335C4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78A"/>
    <w:rsid w:val="00694D2F"/>
    <w:rsid w:val="00695B1F"/>
    <w:rsid w:val="00695CAE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2242"/>
    <w:rsid w:val="006B2C56"/>
    <w:rsid w:val="006B4E82"/>
    <w:rsid w:val="006B5823"/>
    <w:rsid w:val="006B62FA"/>
    <w:rsid w:val="006B64D3"/>
    <w:rsid w:val="006C19AF"/>
    <w:rsid w:val="006C2A58"/>
    <w:rsid w:val="006C534E"/>
    <w:rsid w:val="006C66A0"/>
    <w:rsid w:val="006C68C9"/>
    <w:rsid w:val="006D0160"/>
    <w:rsid w:val="006D3372"/>
    <w:rsid w:val="006D6131"/>
    <w:rsid w:val="006E17E3"/>
    <w:rsid w:val="006E2021"/>
    <w:rsid w:val="006E52BF"/>
    <w:rsid w:val="006E6664"/>
    <w:rsid w:val="006F27DF"/>
    <w:rsid w:val="006F66C7"/>
    <w:rsid w:val="006F73CA"/>
    <w:rsid w:val="007000D6"/>
    <w:rsid w:val="0070120C"/>
    <w:rsid w:val="00701E58"/>
    <w:rsid w:val="00705BF1"/>
    <w:rsid w:val="00707377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3560A"/>
    <w:rsid w:val="007401E0"/>
    <w:rsid w:val="0074083D"/>
    <w:rsid w:val="00740A9C"/>
    <w:rsid w:val="00740CEF"/>
    <w:rsid w:val="00741691"/>
    <w:rsid w:val="00741DA1"/>
    <w:rsid w:val="007448EC"/>
    <w:rsid w:val="00744A31"/>
    <w:rsid w:val="00745302"/>
    <w:rsid w:val="007477C5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2A58"/>
    <w:rsid w:val="00783243"/>
    <w:rsid w:val="00783BC2"/>
    <w:rsid w:val="007843F6"/>
    <w:rsid w:val="00787DB9"/>
    <w:rsid w:val="00787F33"/>
    <w:rsid w:val="00790062"/>
    <w:rsid w:val="007908AF"/>
    <w:rsid w:val="00790983"/>
    <w:rsid w:val="00790AE2"/>
    <w:rsid w:val="00790C17"/>
    <w:rsid w:val="0079246F"/>
    <w:rsid w:val="0079252D"/>
    <w:rsid w:val="00792796"/>
    <w:rsid w:val="007A0B25"/>
    <w:rsid w:val="007A0D67"/>
    <w:rsid w:val="007A1E25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161B"/>
    <w:rsid w:val="007C1F9A"/>
    <w:rsid w:val="007C40FC"/>
    <w:rsid w:val="007C7ABF"/>
    <w:rsid w:val="007D0ABB"/>
    <w:rsid w:val="007D11D7"/>
    <w:rsid w:val="007D2761"/>
    <w:rsid w:val="007D4B89"/>
    <w:rsid w:val="007D4FCE"/>
    <w:rsid w:val="007D59A4"/>
    <w:rsid w:val="007D6580"/>
    <w:rsid w:val="007D6D7C"/>
    <w:rsid w:val="007D73DF"/>
    <w:rsid w:val="007D7B83"/>
    <w:rsid w:val="007E00B2"/>
    <w:rsid w:val="007E12CC"/>
    <w:rsid w:val="007E1507"/>
    <w:rsid w:val="007E3ADF"/>
    <w:rsid w:val="007E53CD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175D"/>
    <w:rsid w:val="00803B5B"/>
    <w:rsid w:val="00804F6A"/>
    <w:rsid w:val="008078E8"/>
    <w:rsid w:val="008108C2"/>
    <w:rsid w:val="00810DE3"/>
    <w:rsid w:val="00815942"/>
    <w:rsid w:val="00816FB6"/>
    <w:rsid w:val="00817CC3"/>
    <w:rsid w:val="0082156E"/>
    <w:rsid w:val="00822222"/>
    <w:rsid w:val="008235FD"/>
    <w:rsid w:val="00824C6E"/>
    <w:rsid w:val="00825E7B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07C4"/>
    <w:rsid w:val="00846298"/>
    <w:rsid w:val="00847F5B"/>
    <w:rsid w:val="00850BA9"/>
    <w:rsid w:val="008514EA"/>
    <w:rsid w:val="00856666"/>
    <w:rsid w:val="00857137"/>
    <w:rsid w:val="00857EC2"/>
    <w:rsid w:val="008603F5"/>
    <w:rsid w:val="00863D54"/>
    <w:rsid w:val="0087318C"/>
    <w:rsid w:val="00873A6C"/>
    <w:rsid w:val="0087527B"/>
    <w:rsid w:val="008757FD"/>
    <w:rsid w:val="00877278"/>
    <w:rsid w:val="00880A48"/>
    <w:rsid w:val="00880BF6"/>
    <w:rsid w:val="00882597"/>
    <w:rsid w:val="00885AF0"/>
    <w:rsid w:val="008870B7"/>
    <w:rsid w:val="00890789"/>
    <w:rsid w:val="00890F44"/>
    <w:rsid w:val="00891A8D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32F9"/>
    <w:rsid w:val="008C466C"/>
    <w:rsid w:val="008C47C6"/>
    <w:rsid w:val="008C6108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0D55"/>
    <w:rsid w:val="00904804"/>
    <w:rsid w:val="00904F4B"/>
    <w:rsid w:val="00904F8B"/>
    <w:rsid w:val="009055C7"/>
    <w:rsid w:val="0090691B"/>
    <w:rsid w:val="00911D8D"/>
    <w:rsid w:val="009124AE"/>
    <w:rsid w:val="00914B3E"/>
    <w:rsid w:val="009166DB"/>
    <w:rsid w:val="009174BE"/>
    <w:rsid w:val="00917B22"/>
    <w:rsid w:val="009201C1"/>
    <w:rsid w:val="0092276F"/>
    <w:rsid w:val="009230F8"/>
    <w:rsid w:val="00931266"/>
    <w:rsid w:val="0093277F"/>
    <w:rsid w:val="00932E08"/>
    <w:rsid w:val="009347D2"/>
    <w:rsid w:val="009349B1"/>
    <w:rsid w:val="0094212C"/>
    <w:rsid w:val="009423CC"/>
    <w:rsid w:val="00942533"/>
    <w:rsid w:val="009463FC"/>
    <w:rsid w:val="00947251"/>
    <w:rsid w:val="00947DE4"/>
    <w:rsid w:val="00954090"/>
    <w:rsid w:val="0095469E"/>
    <w:rsid w:val="00957AF2"/>
    <w:rsid w:val="0096227A"/>
    <w:rsid w:val="00963203"/>
    <w:rsid w:val="00965F15"/>
    <w:rsid w:val="00966B88"/>
    <w:rsid w:val="009716FC"/>
    <w:rsid w:val="009735A7"/>
    <w:rsid w:val="00974303"/>
    <w:rsid w:val="0097575B"/>
    <w:rsid w:val="00975C23"/>
    <w:rsid w:val="009767B9"/>
    <w:rsid w:val="00977F89"/>
    <w:rsid w:val="00981D09"/>
    <w:rsid w:val="009825A4"/>
    <w:rsid w:val="009825B8"/>
    <w:rsid w:val="00985045"/>
    <w:rsid w:val="009853E1"/>
    <w:rsid w:val="00986C58"/>
    <w:rsid w:val="0098770C"/>
    <w:rsid w:val="00991E16"/>
    <w:rsid w:val="00995F26"/>
    <w:rsid w:val="00995F47"/>
    <w:rsid w:val="00997134"/>
    <w:rsid w:val="00997622"/>
    <w:rsid w:val="009A20D5"/>
    <w:rsid w:val="009A27F2"/>
    <w:rsid w:val="009A3595"/>
    <w:rsid w:val="009A7E84"/>
    <w:rsid w:val="009B0EF8"/>
    <w:rsid w:val="009B0FE8"/>
    <w:rsid w:val="009B26B8"/>
    <w:rsid w:val="009B4DA1"/>
    <w:rsid w:val="009B5B41"/>
    <w:rsid w:val="009B5E75"/>
    <w:rsid w:val="009C1738"/>
    <w:rsid w:val="009C1A81"/>
    <w:rsid w:val="009C1BBD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3BF7"/>
    <w:rsid w:val="009F49D9"/>
    <w:rsid w:val="009F589D"/>
    <w:rsid w:val="009F5915"/>
    <w:rsid w:val="009F6823"/>
    <w:rsid w:val="009F693E"/>
    <w:rsid w:val="00A04344"/>
    <w:rsid w:val="00A04D5B"/>
    <w:rsid w:val="00A13DD4"/>
    <w:rsid w:val="00A144D9"/>
    <w:rsid w:val="00A21AD8"/>
    <w:rsid w:val="00A22B02"/>
    <w:rsid w:val="00A3078D"/>
    <w:rsid w:val="00A32DD3"/>
    <w:rsid w:val="00A346E6"/>
    <w:rsid w:val="00A378FB"/>
    <w:rsid w:val="00A41937"/>
    <w:rsid w:val="00A4413E"/>
    <w:rsid w:val="00A45ECD"/>
    <w:rsid w:val="00A461B1"/>
    <w:rsid w:val="00A50398"/>
    <w:rsid w:val="00A503C0"/>
    <w:rsid w:val="00A50827"/>
    <w:rsid w:val="00A52DDD"/>
    <w:rsid w:val="00A53372"/>
    <w:rsid w:val="00A64DF3"/>
    <w:rsid w:val="00A65DE4"/>
    <w:rsid w:val="00A66B18"/>
    <w:rsid w:val="00A700BB"/>
    <w:rsid w:val="00A7016C"/>
    <w:rsid w:val="00A705F7"/>
    <w:rsid w:val="00A7686B"/>
    <w:rsid w:val="00A76D83"/>
    <w:rsid w:val="00A826D1"/>
    <w:rsid w:val="00A84759"/>
    <w:rsid w:val="00A8769D"/>
    <w:rsid w:val="00A87ADB"/>
    <w:rsid w:val="00A87C27"/>
    <w:rsid w:val="00A9258E"/>
    <w:rsid w:val="00A92613"/>
    <w:rsid w:val="00A93EAE"/>
    <w:rsid w:val="00A942B2"/>
    <w:rsid w:val="00A95E76"/>
    <w:rsid w:val="00A96E90"/>
    <w:rsid w:val="00AA6486"/>
    <w:rsid w:val="00AA777E"/>
    <w:rsid w:val="00AA7FA1"/>
    <w:rsid w:val="00AB2B6E"/>
    <w:rsid w:val="00AB2CF7"/>
    <w:rsid w:val="00AB44EC"/>
    <w:rsid w:val="00AB47E7"/>
    <w:rsid w:val="00AB6603"/>
    <w:rsid w:val="00AB7B15"/>
    <w:rsid w:val="00AC0E7A"/>
    <w:rsid w:val="00AC656A"/>
    <w:rsid w:val="00AC77A5"/>
    <w:rsid w:val="00AD15CB"/>
    <w:rsid w:val="00AD1B67"/>
    <w:rsid w:val="00AD1E9A"/>
    <w:rsid w:val="00AD5E7D"/>
    <w:rsid w:val="00AD784E"/>
    <w:rsid w:val="00AE2DF0"/>
    <w:rsid w:val="00AE506D"/>
    <w:rsid w:val="00AE61D4"/>
    <w:rsid w:val="00AE6A51"/>
    <w:rsid w:val="00AE7F34"/>
    <w:rsid w:val="00AF2763"/>
    <w:rsid w:val="00AF61B8"/>
    <w:rsid w:val="00AF6A51"/>
    <w:rsid w:val="00AF7C82"/>
    <w:rsid w:val="00B01196"/>
    <w:rsid w:val="00B015F1"/>
    <w:rsid w:val="00B02D10"/>
    <w:rsid w:val="00B034BC"/>
    <w:rsid w:val="00B053C0"/>
    <w:rsid w:val="00B05E2B"/>
    <w:rsid w:val="00B076EC"/>
    <w:rsid w:val="00B10A0A"/>
    <w:rsid w:val="00B14F07"/>
    <w:rsid w:val="00B15954"/>
    <w:rsid w:val="00B200A7"/>
    <w:rsid w:val="00B2046F"/>
    <w:rsid w:val="00B267D8"/>
    <w:rsid w:val="00B26D68"/>
    <w:rsid w:val="00B27EC1"/>
    <w:rsid w:val="00B333D5"/>
    <w:rsid w:val="00B349F8"/>
    <w:rsid w:val="00B37742"/>
    <w:rsid w:val="00B4031D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286F"/>
    <w:rsid w:val="00B641E4"/>
    <w:rsid w:val="00B6705A"/>
    <w:rsid w:val="00B752B9"/>
    <w:rsid w:val="00B80201"/>
    <w:rsid w:val="00B807FA"/>
    <w:rsid w:val="00B81E21"/>
    <w:rsid w:val="00B823C3"/>
    <w:rsid w:val="00B8331C"/>
    <w:rsid w:val="00B833CB"/>
    <w:rsid w:val="00B8353A"/>
    <w:rsid w:val="00B83DC0"/>
    <w:rsid w:val="00B847F8"/>
    <w:rsid w:val="00B84E88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2375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3C03"/>
    <w:rsid w:val="00BD45BF"/>
    <w:rsid w:val="00BD4931"/>
    <w:rsid w:val="00BD7885"/>
    <w:rsid w:val="00BD797B"/>
    <w:rsid w:val="00BE187C"/>
    <w:rsid w:val="00BE1C07"/>
    <w:rsid w:val="00BE44B0"/>
    <w:rsid w:val="00BE4F2C"/>
    <w:rsid w:val="00BE5C16"/>
    <w:rsid w:val="00BE60A0"/>
    <w:rsid w:val="00BF416C"/>
    <w:rsid w:val="00BF4DA5"/>
    <w:rsid w:val="00BF75FE"/>
    <w:rsid w:val="00BF7849"/>
    <w:rsid w:val="00BF7944"/>
    <w:rsid w:val="00C014AF"/>
    <w:rsid w:val="00C043E6"/>
    <w:rsid w:val="00C0665A"/>
    <w:rsid w:val="00C077D6"/>
    <w:rsid w:val="00C07FFB"/>
    <w:rsid w:val="00C12A6B"/>
    <w:rsid w:val="00C151EA"/>
    <w:rsid w:val="00C153AE"/>
    <w:rsid w:val="00C15680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5D14"/>
    <w:rsid w:val="00C66AC6"/>
    <w:rsid w:val="00C66B26"/>
    <w:rsid w:val="00C72980"/>
    <w:rsid w:val="00C732F7"/>
    <w:rsid w:val="00C73C2F"/>
    <w:rsid w:val="00C75992"/>
    <w:rsid w:val="00C76184"/>
    <w:rsid w:val="00C765C5"/>
    <w:rsid w:val="00C80911"/>
    <w:rsid w:val="00C86028"/>
    <w:rsid w:val="00C86D8F"/>
    <w:rsid w:val="00C9129E"/>
    <w:rsid w:val="00C915CF"/>
    <w:rsid w:val="00C9446F"/>
    <w:rsid w:val="00CA1CEF"/>
    <w:rsid w:val="00CA400E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B6C7C"/>
    <w:rsid w:val="00CB7CA0"/>
    <w:rsid w:val="00CC4B33"/>
    <w:rsid w:val="00CC77E7"/>
    <w:rsid w:val="00CD15B1"/>
    <w:rsid w:val="00CD1F53"/>
    <w:rsid w:val="00CD35D2"/>
    <w:rsid w:val="00CD51A2"/>
    <w:rsid w:val="00CD5652"/>
    <w:rsid w:val="00CD764A"/>
    <w:rsid w:val="00CE162B"/>
    <w:rsid w:val="00CE3333"/>
    <w:rsid w:val="00CE3578"/>
    <w:rsid w:val="00CE5622"/>
    <w:rsid w:val="00CE6833"/>
    <w:rsid w:val="00CE6B55"/>
    <w:rsid w:val="00CE6B5A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502E"/>
    <w:rsid w:val="00D15766"/>
    <w:rsid w:val="00D157DA"/>
    <w:rsid w:val="00D16705"/>
    <w:rsid w:val="00D204D0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0F62"/>
    <w:rsid w:val="00D432B0"/>
    <w:rsid w:val="00D44290"/>
    <w:rsid w:val="00D46806"/>
    <w:rsid w:val="00D510CD"/>
    <w:rsid w:val="00D533A8"/>
    <w:rsid w:val="00D55418"/>
    <w:rsid w:val="00D55E9A"/>
    <w:rsid w:val="00D567CB"/>
    <w:rsid w:val="00D60C69"/>
    <w:rsid w:val="00D62F07"/>
    <w:rsid w:val="00D66488"/>
    <w:rsid w:val="00D676A4"/>
    <w:rsid w:val="00D700EB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870F5"/>
    <w:rsid w:val="00D91372"/>
    <w:rsid w:val="00D919A1"/>
    <w:rsid w:val="00D928EF"/>
    <w:rsid w:val="00D9357B"/>
    <w:rsid w:val="00DA040E"/>
    <w:rsid w:val="00DA2439"/>
    <w:rsid w:val="00DA32C2"/>
    <w:rsid w:val="00DA336D"/>
    <w:rsid w:val="00DA3640"/>
    <w:rsid w:val="00DA3A85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E0159"/>
    <w:rsid w:val="00DE1449"/>
    <w:rsid w:val="00DE440B"/>
    <w:rsid w:val="00DE47B0"/>
    <w:rsid w:val="00DE51C6"/>
    <w:rsid w:val="00DE71D2"/>
    <w:rsid w:val="00DF0C77"/>
    <w:rsid w:val="00DF1D1F"/>
    <w:rsid w:val="00DF6A6F"/>
    <w:rsid w:val="00DF7018"/>
    <w:rsid w:val="00DF790D"/>
    <w:rsid w:val="00DF7CA2"/>
    <w:rsid w:val="00E01B7E"/>
    <w:rsid w:val="00E02280"/>
    <w:rsid w:val="00E043B9"/>
    <w:rsid w:val="00E0628D"/>
    <w:rsid w:val="00E0729A"/>
    <w:rsid w:val="00E07A8E"/>
    <w:rsid w:val="00E12B56"/>
    <w:rsid w:val="00E12CD0"/>
    <w:rsid w:val="00E1729C"/>
    <w:rsid w:val="00E207B0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2F34"/>
    <w:rsid w:val="00E336C2"/>
    <w:rsid w:val="00E33DCD"/>
    <w:rsid w:val="00E359F9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4C9B"/>
    <w:rsid w:val="00E663C8"/>
    <w:rsid w:val="00E665F6"/>
    <w:rsid w:val="00E66754"/>
    <w:rsid w:val="00E66881"/>
    <w:rsid w:val="00E66973"/>
    <w:rsid w:val="00E67CE6"/>
    <w:rsid w:val="00E732C1"/>
    <w:rsid w:val="00E73825"/>
    <w:rsid w:val="00E740A5"/>
    <w:rsid w:val="00E74747"/>
    <w:rsid w:val="00E76774"/>
    <w:rsid w:val="00E77CF2"/>
    <w:rsid w:val="00E81731"/>
    <w:rsid w:val="00E8418B"/>
    <w:rsid w:val="00E84D86"/>
    <w:rsid w:val="00E85EB5"/>
    <w:rsid w:val="00E90F60"/>
    <w:rsid w:val="00E92647"/>
    <w:rsid w:val="00E96259"/>
    <w:rsid w:val="00EA32CF"/>
    <w:rsid w:val="00EA348C"/>
    <w:rsid w:val="00EA40C4"/>
    <w:rsid w:val="00EB0E47"/>
    <w:rsid w:val="00EB132D"/>
    <w:rsid w:val="00EB14A3"/>
    <w:rsid w:val="00EB2D7A"/>
    <w:rsid w:val="00EB31C3"/>
    <w:rsid w:val="00EB346F"/>
    <w:rsid w:val="00EB4E56"/>
    <w:rsid w:val="00EB62C7"/>
    <w:rsid w:val="00EC0DAB"/>
    <w:rsid w:val="00EC1F62"/>
    <w:rsid w:val="00EC35F4"/>
    <w:rsid w:val="00EC382D"/>
    <w:rsid w:val="00EC3880"/>
    <w:rsid w:val="00EC5F62"/>
    <w:rsid w:val="00ED001A"/>
    <w:rsid w:val="00ED3FDD"/>
    <w:rsid w:val="00EE07A0"/>
    <w:rsid w:val="00EE13D4"/>
    <w:rsid w:val="00EE2A0B"/>
    <w:rsid w:val="00EE466C"/>
    <w:rsid w:val="00EE4E22"/>
    <w:rsid w:val="00EE5105"/>
    <w:rsid w:val="00EE5AB5"/>
    <w:rsid w:val="00EE7591"/>
    <w:rsid w:val="00EF3B4F"/>
    <w:rsid w:val="00EF4697"/>
    <w:rsid w:val="00EF680A"/>
    <w:rsid w:val="00EF7B9D"/>
    <w:rsid w:val="00F00093"/>
    <w:rsid w:val="00F002B1"/>
    <w:rsid w:val="00F02451"/>
    <w:rsid w:val="00F02BEE"/>
    <w:rsid w:val="00F0333F"/>
    <w:rsid w:val="00F033E6"/>
    <w:rsid w:val="00F0606D"/>
    <w:rsid w:val="00F06753"/>
    <w:rsid w:val="00F070F4"/>
    <w:rsid w:val="00F07453"/>
    <w:rsid w:val="00F077F1"/>
    <w:rsid w:val="00F11196"/>
    <w:rsid w:val="00F12892"/>
    <w:rsid w:val="00F1355E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4383F"/>
    <w:rsid w:val="00F44A7E"/>
    <w:rsid w:val="00F46171"/>
    <w:rsid w:val="00F51DE3"/>
    <w:rsid w:val="00F52E9C"/>
    <w:rsid w:val="00F540DA"/>
    <w:rsid w:val="00F54379"/>
    <w:rsid w:val="00F613D6"/>
    <w:rsid w:val="00F6327F"/>
    <w:rsid w:val="00F64008"/>
    <w:rsid w:val="00F64363"/>
    <w:rsid w:val="00F6511A"/>
    <w:rsid w:val="00F66F34"/>
    <w:rsid w:val="00F67B45"/>
    <w:rsid w:val="00F67B52"/>
    <w:rsid w:val="00F704AD"/>
    <w:rsid w:val="00F72635"/>
    <w:rsid w:val="00F74B02"/>
    <w:rsid w:val="00F77199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97CD5"/>
    <w:rsid w:val="00FA37FE"/>
    <w:rsid w:val="00FA396F"/>
    <w:rsid w:val="00FA3DBC"/>
    <w:rsid w:val="00FA4635"/>
    <w:rsid w:val="00FA5001"/>
    <w:rsid w:val="00FA5159"/>
    <w:rsid w:val="00FA7280"/>
    <w:rsid w:val="00FB3508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6CD2"/>
    <w:rsid w:val="00FD7C67"/>
    <w:rsid w:val="00FE34B6"/>
    <w:rsid w:val="00FE6865"/>
    <w:rsid w:val="00FE7EEA"/>
    <w:rsid w:val="00FF14C9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672B98395309762762EE0336B12773EACD9F01434B912A4AB331A16A263B5D820DEFC9C24786HE2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72B98395309762762EE0336B12773EACD9F01434B912A4AB331A16A263B5D820DEFC9C24786HE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549-AA2A-402A-8CAA-8933A1C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16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26</cp:revision>
  <cp:lastPrinted>2017-12-25T12:04:00Z</cp:lastPrinted>
  <dcterms:created xsi:type="dcterms:W3CDTF">2016-12-02T05:38:00Z</dcterms:created>
  <dcterms:modified xsi:type="dcterms:W3CDTF">2018-12-18T13:14:00Z</dcterms:modified>
</cp:coreProperties>
</file>